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70073" w14:textId="4131C344" w:rsidR="00287E29" w:rsidRDefault="00486EF0">
      <w:pPr>
        <w:pStyle w:val="Heading1"/>
      </w:pPr>
      <w:r>
        <w:t>Comments on IFRS -9</w:t>
      </w:r>
      <w:bookmarkStart w:id="0" w:name="_GoBack"/>
      <w:bookmarkEnd w:id="0"/>
    </w:p>
    <w:p w14:paraId="34E1AF84" w14:textId="77777777" w:rsidR="00287E29" w:rsidRDefault="00486EF0">
      <w:r>
        <w:t>Dear Sir / Madam,</w:t>
      </w:r>
    </w:p>
    <w:p w14:paraId="51172AE7" w14:textId="77777777" w:rsidR="00287E29" w:rsidRDefault="00486EF0">
      <w:r>
        <w:t xml:space="preserve">We welcome the opportunity to comment on the three Tentative Agenda Decisions (TADs) hosted by the ASB for public comment. Because Ind AS are converged with IFRS Accounting </w:t>
      </w:r>
      <w:r>
        <w:t>Standards, these decisions will shape practice for Indian entities, so our comments note Indian fact patterns where relevant.</w:t>
      </w:r>
    </w:p>
    <w:tbl>
      <w:tblPr>
        <w:tblStyle w:val="TableGrid"/>
        <w:tblW w:w="0" w:type="auto"/>
        <w:tblLayout w:type="fixed"/>
        <w:tblLook w:val="0420" w:firstRow="1" w:lastRow="0" w:firstColumn="0" w:lastColumn="0" w:noHBand="0" w:noVBand="1"/>
      </w:tblPr>
      <w:tblGrid>
        <w:gridCol w:w="3120"/>
        <w:gridCol w:w="3120"/>
        <w:gridCol w:w="3120"/>
      </w:tblGrid>
      <w:tr w:rsidR="00287E29" w14:paraId="46751439" w14:textId="77777777">
        <w:trPr>
          <w:tblHeader/>
        </w:trPr>
        <w:tc>
          <w:tcPr>
            <w:tcW w:w="3120" w:type="dxa"/>
            <w:shd w:val="clear" w:color="auto" w:fill="F2F2F2"/>
          </w:tcPr>
          <w:p w14:paraId="00D5B27E" w14:textId="77777777" w:rsidR="00287E29" w:rsidRDefault="00486EF0">
            <w:r>
              <w:t>TAD</w:t>
            </w:r>
          </w:p>
        </w:tc>
        <w:tc>
          <w:tcPr>
            <w:tcW w:w="3120" w:type="dxa"/>
            <w:shd w:val="clear" w:color="auto" w:fill="F2F2F2"/>
          </w:tcPr>
          <w:p w14:paraId="212D45B2" w14:textId="77777777" w:rsidR="00287E29" w:rsidRDefault="00486EF0">
            <w:r>
              <w:t>Standard</w:t>
            </w:r>
          </w:p>
        </w:tc>
        <w:tc>
          <w:tcPr>
            <w:tcW w:w="3120" w:type="dxa"/>
            <w:shd w:val="clear" w:color="auto" w:fill="F2F2F2"/>
          </w:tcPr>
          <w:p w14:paraId="60D780CD" w14:textId="77777777" w:rsidR="00287E29" w:rsidRDefault="00486EF0">
            <w:r>
              <w:t>Our view</w:t>
            </w:r>
          </w:p>
        </w:tc>
      </w:tr>
      <w:tr w:rsidR="00287E29" w14:paraId="53F18D93" w14:textId="77777777">
        <w:tc>
          <w:tcPr>
            <w:tcW w:w="3120" w:type="dxa"/>
          </w:tcPr>
          <w:p w14:paraId="4C2B16C3" w14:textId="77777777" w:rsidR="00287E29" w:rsidRDefault="00486EF0">
            <w:r>
              <w:t>Sale of Equity Investments Measured at FVOCI</w:t>
            </w:r>
          </w:p>
        </w:tc>
        <w:tc>
          <w:tcPr>
            <w:tcW w:w="3120" w:type="dxa"/>
          </w:tcPr>
          <w:p w14:paraId="2C15018B" w14:textId="77777777" w:rsidR="00287E29" w:rsidRDefault="00486EF0">
            <w:r>
              <w:t>IFRS 9</w:t>
            </w:r>
          </w:p>
        </w:tc>
        <w:tc>
          <w:tcPr>
            <w:tcW w:w="3120" w:type="dxa"/>
          </w:tcPr>
          <w:p w14:paraId="3CE90F02" w14:textId="77777777" w:rsidR="00287E29" w:rsidRDefault="00486EF0">
            <w:r>
              <w:t>Agree with outcome; request technical explanation</w:t>
            </w:r>
          </w:p>
        </w:tc>
      </w:tr>
    </w:tbl>
    <w:p w14:paraId="041FBC71" w14:textId="35C03BAF" w:rsidR="00287E29" w:rsidRDefault="000F1C40">
      <w:pPr>
        <w:pStyle w:val="Heading2"/>
      </w:pPr>
      <w:r>
        <w:t>1</w:t>
      </w:r>
      <w:r w:rsidR="00486EF0">
        <w:t>. Sale of Equity Investments Measured at Fair Value through Other Comprehensive Income (IFRS 9)</w:t>
      </w:r>
    </w:p>
    <w:p w14:paraId="508CF6B1" w14:textId="77777777" w:rsidR="00287E29" w:rsidRDefault="00486EF0">
      <w:r>
        <w:rPr>
          <w:b/>
        </w:rPr>
        <w:t>Our view: we agree</w:t>
      </w:r>
      <w:r>
        <w:t xml:space="preserve"> with the outcome—</w:t>
      </w:r>
      <w:proofErr w:type="spellStart"/>
      <w:r>
        <w:t>recognising</w:t>
      </w:r>
      <w:proofErr w:type="spellEnd"/>
      <w:r>
        <w:t xml:space="preserve"> in OCI the difference between fair val</w:t>
      </w:r>
      <w:r>
        <w:t>ue at the disposal date and the consideration received—and with not adding a standard-setting project. However, we are concerned that the decision rests only on the absence of widespread effect and gives no technical explanation.</w:t>
      </w:r>
    </w:p>
    <w:p w14:paraId="4AE0D49E" w14:textId="77777777" w:rsidR="00287E29" w:rsidRDefault="00486EF0">
      <w:r>
        <w:t>A decision based solely on</w:t>
      </w:r>
      <w:r>
        <w:t xml:space="preserve"> prevalence explains what entities do, not why IFRS 9 requires it. If practice changes, or an entity reaches a different conclusion, the decision offers no principle to rely on. This matters in India, where many FVOCI equity investments are unlisted and ar</w:t>
      </w:r>
      <w:r>
        <w:t>e sold through negotiated transactions. In those sales, the agreed price often differs from the last fair value measurement.</w:t>
      </w:r>
    </w:p>
    <w:p w14:paraId="2E4995F4" w14:textId="77777777" w:rsidR="00287E29" w:rsidRDefault="00486EF0">
      <w:r>
        <w:rPr>
          <w:b/>
        </w:rPr>
        <w:t>Suggestions to improve the final agenda decision:</w:t>
      </w:r>
    </w:p>
    <w:p w14:paraId="580A8256" w14:textId="77777777" w:rsidR="00287E29" w:rsidRDefault="00486EF0">
      <w:pPr>
        <w:pStyle w:val="ListParagraph"/>
        <w:numPr>
          <w:ilvl w:val="0"/>
          <w:numId w:val="4"/>
        </w:numPr>
      </w:pPr>
      <w:r>
        <w:rPr>
          <w:b/>
        </w:rPr>
        <w:t>State the technical basis.</w:t>
      </w:r>
      <w:r>
        <w:t xml:space="preserve"> We suggest the decision explain that, under paragraph </w:t>
      </w:r>
      <w:r>
        <w:t>5.7.5 of IFRS 9 and the related application guidance, all changes in fair value of the investment up to derecognition are presented in OCI and are not subsequently transferred to profit or loss. Measuring the investment at fair value immediately before der</w:t>
      </w:r>
      <w:r>
        <w:t>ecognition, using the consideration as evidence where it is an orderly exit price, leads to the outcome reported in practice.</w:t>
      </w:r>
    </w:p>
    <w:p w14:paraId="26370F23" w14:textId="77777777" w:rsidR="00287E29" w:rsidRDefault="00486EF0">
      <w:pPr>
        <w:pStyle w:val="ListParagraph"/>
        <w:numPr>
          <w:ilvl w:val="0"/>
          <w:numId w:val="4"/>
        </w:numPr>
      </w:pPr>
      <w:r>
        <w:rPr>
          <w:b/>
        </w:rPr>
        <w:t>First consider why the difference arises.</w:t>
      </w:r>
      <w:r>
        <w:t xml:space="preserve"> In an orderly transaction between market participants, the consideration is generally th</w:t>
      </w:r>
      <w:r>
        <w:t>e best evidence of fair value at the disposal date. A significant difference may therefore indicate that the consideration includes something else, such as a contribution from or distribution to a shareholder, payment for other goods or services, or a non-</w:t>
      </w:r>
      <w:r>
        <w:t>market term. We suggest the decision note that an entity first identifies and accounts for any such element under the applicable Standard before attributing the remaining difference to the investment.</w:t>
      </w:r>
    </w:p>
    <w:p w14:paraId="294C68CA" w14:textId="77777777" w:rsidR="00287E29" w:rsidRDefault="00486EF0">
      <w:pPr>
        <w:pStyle w:val="ListParagraph"/>
        <w:numPr>
          <w:ilvl w:val="0"/>
          <w:numId w:val="4"/>
        </w:numPr>
      </w:pPr>
      <w:r>
        <w:rPr>
          <w:b/>
        </w:rPr>
        <w:t>Transaction costs on disposal.</w:t>
      </w:r>
      <w:r>
        <w:t xml:space="preserve"> We suggest the decision </w:t>
      </w:r>
      <w:r>
        <w:t xml:space="preserve">confirm whether costs directly attributable to the disposal are also </w:t>
      </w:r>
      <w:proofErr w:type="spellStart"/>
      <w:r>
        <w:t>recognised</w:t>
      </w:r>
      <w:proofErr w:type="spellEnd"/>
      <w:r>
        <w:t xml:space="preserve"> in OCI, as diversity may exist on this narrower point.</w:t>
      </w:r>
    </w:p>
    <w:p w14:paraId="735CD443" w14:textId="77777777" w:rsidR="00287E29" w:rsidRDefault="00486EF0">
      <w:pPr>
        <w:pStyle w:val="ListParagraph"/>
        <w:numPr>
          <w:ilvl w:val="0"/>
          <w:numId w:val="4"/>
        </w:numPr>
      </w:pPr>
      <w:r>
        <w:rPr>
          <w:b/>
        </w:rPr>
        <w:lastRenderedPageBreak/>
        <w:t>If prevalence remains the only basis,</w:t>
      </w:r>
      <w:r>
        <w:t xml:space="preserve"> we suggest the decision state clearly that it does not express a view on the techni</w:t>
      </w:r>
      <w:r>
        <w:t>cal requirements, so that it is not read as authoritative guidance on measurement.</w:t>
      </w:r>
    </w:p>
    <w:p w14:paraId="329355D9" w14:textId="2B4E6D46" w:rsidR="00287E29" w:rsidRDefault="00287E29" w:rsidP="00CF6981">
      <w:pPr>
        <w:pStyle w:val="ListParagraph"/>
      </w:pPr>
    </w:p>
    <w:sectPr w:rsidR="00287E2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966B6"/>
    <w:multiLevelType w:val="hybridMultilevel"/>
    <w:tmpl w:val="3D2ACB16"/>
    <w:lvl w:ilvl="0" w:tplc="8D764A1E">
      <w:start w:val="1"/>
      <w:numFmt w:val="bullet"/>
      <w:lvlText w:val="•"/>
      <w:lvlJc w:val="left"/>
      <w:pPr>
        <w:ind w:left="720" w:hanging="360"/>
      </w:pPr>
    </w:lvl>
    <w:lvl w:ilvl="1" w:tplc="E4E4C59E">
      <w:start w:val="1"/>
      <w:numFmt w:val="bullet"/>
      <w:lvlText w:val="o"/>
      <w:lvlJc w:val="left"/>
      <w:pPr>
        <w:ind w:left="1440" w:hanging="360"/>
      </w:pPr>
    </w:lvl>
    <w:lvl w:ilvl="2" w:tplc="BC349538">
      <w:start w:val="1"/>
      <w:numFmt w:val="bullet"/>
      <w:lvlText w:val="▪"/>
      <w:lvlJc w:val="left"/>
      <w:pPr>
        <w:ind w:left="2160" w:hanging="360"/>
      </w:pPr>
    </w:lvl>
    <w:lvl w:ilvl="3" w:tplc="1F6841B4">
      <w:start w:val="1"/>
      <w:numFmt w:val="bullet"/>
      <w:lvlText w:val="•"/>
      <w:lvlJc w:val="left"/>
      <w:pPr>
        <w:ind w:left="2880" w:hanging="360"/>
      </w:pPr>
    </w:lvl>
    <w:lvl w:ilvl="4" w:tplc="FB3E3C84">
      <w:start w:val="1"/>
      <w:numFmt w:val="bullet"/>
      <w:lvlText w:val="o"/>
      <w:lvlJc w:val="left"/>
      <w:pPr>
        <w:ind w:left="3600" w:hanging="360"/>
      </w:pPr>
    </w:lvl>
    <w:lvl w:ilvl="5" w:tplc="1D7A41E6">
      <w:start w:val="1"/>
      <w:numFmt w:val="bullet"/>
      <w:lvlText w:val="▪"/>
      <w:lvlJc w:val="left"/>
      <w:pPr>
        <w:ind w:left="4320" w:hanging="360"/>
      </w:pPr>
    </w:lvl>
    <w:lvl w:ilvl="6" w:tplc="7A2C4DA8">
      <w:start w:val="1"/>
      <w:numFmt w:val="bullet"/>
      <w:lvlText w:val="•"/>
      <w:lvlJc w:val="left"/>
      <w:pPr>
        <w:ind w:left="5040" w:hanging="360"/>
      </w:pPr>
    </w:lvl>
    <w:lvl w:ilvl="7" w:tplc="75C470DE">
      <w:start w:val="1"/>
      <w:numFmt w:val="bullet"/>
      <w:lvlText w:val="o"/>
      <w:lvlJc w:val="left"/>
      <w:pPr>
        <w:ind w:left="5760" w:hanging="360"/>
      </w:pPr>
    </w:lvl>
    <w:lvl w:ilvl="8" w:tplc="57A0F0DC">
      <w:start w:val="1"/>
      <w:numFmt w:val="bullet"/>
      <w:lvlText w:val="▪"/>
      <w:lvlJc w:val="left"/>
      <w:pPr>
        <w:ind w:left="6480" w:hanging="360"/>
      </w:pPr>
    </w:lvl>
  </w:abstractNum>
  <w:abstractNum w:abstractNumId="1" w15:restartNumberingAfterBreak="0">
    <w:nsid w:val="43F011D7"/>
    <w:multiLevelType w:val="hybridMultilevel"/>
    <w:tmpl w:val="45F07BC2"/>
    <w:lvl w:ilvl="0" w:tplc="209A3B46">
      <w:start w:val="1"/>
      <w:numFmt w:val="decimal"/>
      <w:lvlText w:val="%1."/>
      <w:lvlJc w:val="left"/>
      <w:pPr>
        <w:ind w:left="720" w:hanging="360"/>
      </w:pPr>
    </w:lvl>
    <w:lvl w:ilvl="1" w:tplc="58F04902">
      <w:start w:val="1"/>
      <w:numFmt w:val="lowerLetter"/>
      <w:lvlText w:val="%2."/>
      <w:lvlJc w:val="left"/>
      <w:pPr>
        <w:ind w:left="1440" w:hanging="360"/>
      </w:pPr>
    </w:lvl>
    <w:lvl w:ilvl="2" w:tplc="4942E360">
      <w:start w:val="1"/>
      <w:numFmt w:val="lowerRoman"/>
      <w:lvlText w:val="%3."/>
      <w:lvlJc w:val="left"/>
      <w:pPr>
        <w:ind w:left="2160" w:hanging="360"/>
      </w:pPr>
    </w:lvl>
    <w:lvl w:ilvl="3" w:tplc="82545E06">
      <w:start w:val="1"/>
      <w:numFmt w:val="decimal"/>
      <w:lvlText w:val="%4."/>
      <w:lvlJc w:val="left"/>
      <w:pPr>
        <w:ind w:left="2880" w:hanging="360"/>
      </w:pPr>
    </w:lvl>
    <w:lvl w:ilvl="4" w:tplc="7278C932">
      <w:start w:val="1"/>
      <w:numFmt w:val="lowerLetter"/>
      <w:lvlText w:val="%5."/>
      <w:lvlJc w:val="left"/>
      <w:pPr>
        <w:ind w:left="3600" w:hanging="360"/>
      </w:pPr>
    </w:lvl>
    <w:lvl w:ilvl="5" w:tplc="417216C0">
      <w:start w:val="1"/>
      <w:numFmt w:val="lowerRoman"/>
      <w:lvlText w:val="%6."/>
      <w:lvlJc w:val="left"/>
      <w:pPr>
        <w:ind w:left="4320" w:hanging="360"/>
      </w:pPr>
    </w:lvl>
    <w:lvl w:ilvl="6" w:tplc="29AC35BA">
      <w:start w:val="1"/>
      <w:numFmt w:val="decimal"/>
      <w:lvlText w:val="%7."/>
      <w:lvlJc w:val="left"/>
      <w:pPr>
        <w:ind w:left="5040" w:hanging="360"/>
      </w:pPr>
    </w:lvl>
    <w:lvl w:ilvl="7" w:tplc="7F267CA6">
      <w:start w:val="1"/>
      <w:numFmt w:val="lowerLetter"/>
      <w:lvlText w:val="%8."/>
      <w:lvlJc w:val="left"/>
      <w:pPr>
        <w:ind w:left="5760" w:hanging="360"/>
      </w:pPr>
    </w:lvl>
    <w:lvl w:ilvl="8" w:tplc="72C2DBF6">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87E29"/>
    <w:rsid w:val="000F1C40"/>
    <w:rsid w:val="00287E29"/>
    <w:rsid w:val="00486EF0"/>
    <w:rsid w:val="00955DBA"/>
    <w:rsid w:val="009B740E"/>
    <w:rsid w:val="00CF6981"/>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C2C0"/>
  <w15:docId w15:val="{CF813A1F-4E6C-423F-BFC2-1450642B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IFRS IC Tentative Agenda Decisions (September 2026)</dc:title>
  <dc:description>Claude Docs node/6e518e1b-8e49@6 docx-w6</dc:description>
  <cp:lastModifiedBy>Admin</cp:lastModifiedBy>
  <cp:revision>10</cp:revision>
  <dcterms:created xsi:type="dcterms:W3CDTF">2026-10-08T12:53:00Z</dcterms:created>
  <dcterms:modified xsi:type="dcterms:W3CDTF">2026-10-09T11:51:00Z</dcterms:modified>
</cp:coreProperties>
</file>